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D11B6" w:rsidRDefault="00F720BE">
      <w:pPr>
        <w:widowControl/>
        <w:ind w:firstLineChars="0" w:firstLine="0"/>
        <w:rPr>
          <w:b/>
          <w:bCs/>
          <w:sz w:val="20"/>
          <w:szCs w:val="20"/>
        </w:rPr>
      </w:pPr>
      <w:r w:rsidRPr="00F720BE">
        <w:rPr>
          <w:b/>
          <w:bCs/>
          <w:sz w:val="20"/>
          <w:szCs w:val="20"/>
        </w:rPr>
        <w:t>Supplementary Material</w:t>
      </w:r>
      <w:r w:rsidR="00FC6DCE">
        <w:rPr>
          <w:rFonts w:hint="eastAsia"/>
          <w:b/>
          <w:bCs/>
          <w:sz w:val="20"/>
          <w:szCs w:val="20"/>
        </w:rPr>
        <w:t xml:space="preserve"> 1 </w:t>
      </w:r>
    </w:p>
    <w:p w:rsidR="00CD11B6" w:rsidRDefault="00FC6DCE">
      <w:pPr>
        <w:widowControl/>
        <w:ind w:firstLineChars="0" w:firstLine="0"/>
        <w:rPr>
          <w:sz w:val="20"/>
          <w:szCs w:val="20"/>
        </w:rPr>
      </w:pPr>
      <w:r>
        <w:rPr>
          <w:rFonts w:hint="eastAsia"/>
          <w:b/>
          <w:bCs/>
          <w:sz w:val="20"/>
          <w:szCs w:val="20"/>
        </w:rPr>
        <w:t xml:space="preserve">Threshold determination: </w:t>
      </w:r>
      <w:r>
        <w:rPr>
          <w:rFonts w:hint="eastAsia"/>
          <w:sz w:val="20"/>
          <w:szCs w:val="20"/>
        </w:rPr>
        <w:t>The initial use of a 40% threshold to construct binarized networks in this study was not only supported by references but also based on preliminary pre-analysis of our study data, to match the brain function development characteristics of GDD and TD children in the specific age group (2</w:t>
      </w:r>
      <w:r>
        <w:rPr>
          <w:rFonts w:hint="eastAsia"/>
          <w:sz w:val="20"/>
          <w:szCs w:val="20"/>
        </w:rPr>
        <w:t>–</w:t>
      </w:r>
      <w:r>
        <w:rPr>
          <w:rFonts w:hint="eastAsia"/>
          <w:sz w:val="20"/>
          <w:szCs w:val="20"/>
        </w:rPr>
        <w:t>6 years old).In the pre-analysis, we calculated the raw functional connectivity matrices of all participants and observed the following: When the threshold was &lt; 30%, a large number of isolated nodes appeared in the networks of both groups (especially in GDD children), leading to extensive data loss in characteristic path length and small-world coefficient, and failing to form a "connected functional network" with physiological significance; When the threshold was &gt; 50%, the network became excessively dense, which significantly increased the proportion of false-positive connections and might mask true inter-group differences.</w:t>
      </w:r>
      <w:r w:rsidR="003F32B1">
        <w:rPr>
          <w:sz w:val="20"/>
          <w:szCs w:val="20"/>
        </w:rPr>
        <w:t xml:space="preserve"> </w:t>
      </w:r>
      <w:bookmarkStart w:id="0" w:name="_GoBack"/>
      <w:bookmarkEnd w:id="0"/>
      <w:r>
        <w:rPr>
          <w:rFonts w:hint="eastAsia"/>
          <w:sz w:val="20"/>
          <w:szCs w:val="20"/>
        </w:rPr>
        <w:t>Based on the above pre-analysis, we referenced the threshold setting in autism studies (autism and global developmental delay are both neurodevelopmental disorders that often co-occur and share some common clinical symptoms) and ultimately chose a 40% threshold to construct the brain network after comprehensive consideration.</w:t>
      </w:r>
    </w:p>
    <w:p w:rsidR="00CD11B6" w:rsidRDefault="00FC6DCE">
      <w:pPr>
        <w:widowControl/>
        <w:ind w:firstLineChars="0" w:firstLine="0"/>
        <w:rPr>
          <w:sz w:val="20"/>
          <w:szCs w:val="20"/>
        </w:rPr>
      </w:pPr>
      <w:r>
        <w:rPr>
          <w:rFonts w:hint="eastAsia"/>
          <w:sz w:val="20"/>
          <w:szCs w:val="20"/>
        </w:rPr>
        <w:t xml:space="preserve">   Additionally, we conducted a multi-threshold validation analysis: within the 30%</w:t>
      </w:r>
      <w:r>
        <w:rPr>
          <w:rFonts w:hint="eastAsia"/>
          <w:sz w:val="20"/>
          <w:szCs w:val="20"/>
        </w:rPr>
        <w:t>–</w:t>
      </w:r>
      <w:r>
        <w:rPr>
          <w:rFonts w:hint="eastAsia"/>
          <w:sz w:val="20"/>
          <w:szCs w:val="20"/>
        </w:rPr>
        <w:t>50% threshold range, topological metrics were calculated at 2% increments. Results indicate that core brain network metrics remained largely stable across varying thresholds within this interval, with no diametrically opposed conclusions observed. Figure 1 below illustrates the trends in brain network parameters across different frequency bands for two groups of children as the threshold varies:</w:t>
      </w:r>
    </w:p>
    <w:p w:rsidR="00CE6E4C" w:rsidRDefault="00CE6E4C">
      <w:pPr>
        <w:widowControl/>
        <w:ind w:firstLineChars="0" w:firstLine="0"/>
        <w:rPr>
          <w:sz w:val="20"/>
          <w:szCs w:val="20"/>
        </w:rPr>
      </w:pPr>
    </w:p>
    <w:p w:rsidR="00CD11B6" w:rsidRDefault="00FC6DCE">
      <w:pPr>
        <w:widowControl/>
        <w:ind w:firstLineChars="0" w:firstLine="0"/>
        <w:jc w:val="center"/>
        <w:rPr>
          <w:color w:val="1E1D40"/>
          <w:sz w:val="21"/>
          <w:szCs w:val="21"/>
          <w:shd w:val="clear" w:color="FFFFFF" w:fill="D9D9D9"/>
        </w:rPr>
      </w:pPr>
      <w:r>
        <w:rPr>
          <w:noProof/>
          <w:color w:val="1E1D40"/>
          <w:sz w:val="21"/>
          <w:szCs w:val="21"/>
          <w:shd w:val="clear" w:color="FFFFFF" w:fill="D9D9D9"/>
        </w:rPr>
        <w:drawing>
          <wp:inline distT="0" distB="0" distL="114300" distR="114300">
            <wp:extent cx="3539490" cy="2528570"/>
            <wp:effectExtent l="0" t="0" r="3810" b="5080"/>
            <wp:docPr id="2" name="图片 2" descr="多阈值折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多阈值折线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3949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1B6" w:rsidRDefault="00F720BE">
      <w:pPr>
        <w:pStyle w:val="a3"/>
        <w:widowControl/>
        <w:ind w:firstLine="420"/>
        <w:rPr>
          <w:sz w:val="21"/>
          <w:szCs w:val="21"/>
        </w:rPr>
      </w:pPr>
      <w:r w:rsidRPr="00F720BE">
        <w:rPr>
          <w:sz w:val="21"/>
          <w:szCs w:val="21"/>
        </w:rPr>
        <w:lastRenderedPageBreak/>
        <w:t xml:space="preserve">Supplementary </w:t>
      </w:r>
      <w:r>
        <w:rPr>
          <w:sz w:val="21"/>
          <w:szCs w:val="21"/>
        </w:rPr>
        <w:t>Fig.</w:t>
      </w:r>
      <w:r w:rsidR="00FC6DCE">
        <w:rPr>
          <w:rFonts w:hint="eastAsia"/>
          <w:sz w:val="21"/>
          <w:szCs w:val="21"/>
        </w:rPr>
        <w:t xml:space="preserve"> 1 </w:t>
      </w:r>
      <w:proofErr w:type="spellStart"/>
      <w:r w:rsidR="00FC6DCE">
        <w:rPr>
          <w:sz w:val="21"/>
          <w:szCs w:val="21"/>
        </w:rPr>
        <w:t>Multithreshold</w:t>
      </w:r>
      <w:proofErr w:type="spellEnd"/>
      <w:r w:rsidR="00FC6DCE">
        <w:rPr>
          <w:sz w:val="21"/>
          <w:szCs w:val="21"/>
        </w:rPr>
        <w:t xml:space="preserve"> analysis of brain network parameters in GDD and TD children:</w:t>
      </w:r>
    </w:p>
    <w:p w:rsidR="00CD11B6" w:rsidRDefault="00CD11B6">
      <w:pPr>
        <w:widowControl/>
        <w:ind w:firstLineChars="0" w:firstLine="0"/>
        <w:rPr>
          <w:sz w:val="20"/>
          <w:szCs w:val="20"/>
        </w:rPr>
      </w:pPr>
    </w:p>
    <w:p w:rsidR="00CD11B6" w:rsidRDefault="00CD11B6">
      <w:pPr>
        <w:widowControl/>
        <w:ind w:firstLineChars="0" w:firstLine="0"/>
        <w:rPr>
          <w:sz w:val="20"/>
          <w:szCs w:val="20"/>
        </w:rPr>
      </w:pPr>
    </w:p>
    <w:p w:rsidR="00CD11B6" w:rsidRPr="00660AB7" w:rsidRDefault="00F720BE">
      <w:pPr>
        <w:widowControl/>
        <w:ind w:firstLineChars="0" w:firstLine="0"/>
        <w:jc w:val="center"/>
        <w:rPr>
          <w:sz w:val="20"/>
          <w:szCs w:val="20"/>
        </w:rPr>
      </w:pPr>
      <w:r w:rsidRPr="00F720BE">
        <w:rPr>
          <w:sz w:val="20"/>
          <w:szCs w:val="20"/>
        </w:rPr>
        <w:t xml:space="preserve">Supplementary </w:t>
      </w:r>
      <w:r w:rsidR="00FC6DCE">
        <w:rPr>
          <w:rFonts w:hint="eastAsia"/>
          <w:sz w:val="20"/>
          <w:szCs w:val="20"/>
        </w:rPr>
        <w:t>Tab</w:t>
      </w:r>
      <w:r w:rsidR="00FC6DCE" w:rsidRPr="00660AB7">
        <w:rPr>
          <w:rFonts w:hint="eastAsia"/>
          <w:sz w:val="20"/>
          <w:szCs w:val="20"/>
        </w:rPr>
        <w:t>le 1. Differences in inter-electrode connections between the GDD and TD groups</w:t>
      </w:r>
      <w:r w:rsidRPr="00660AB7">
        <w:rPr>
          <w:sz w:val="20"/>
          <w:szCs w:val="20"/>
        </w:rPr>
        <w:t>.</w:t>
      </w:r>
    </w:p>
    <w:tbl>
      <w:tblPr>
        <w:tblStyle w:val="a4"/>
        <w:tblW w:w="4666" w:type="pct"/>
        <w:jc w:val="center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24"/>
        <w:gridCol w:w="1149"/>
        <w:gridCol w:w="5080"/>
      </w:tblGrid>
      <w:tr w:rsidR="00CD11B6">
        <w:trPr>
          <w:jc w:val="center"/>
        </w:trPr>
        <w:tc>
          <w:tcPr>
            <w:tcW w:w="1083" w:type="pct"/>
            <w:tcBorders>
              <w:bottom w:val="single" w:sz="4" w:space="0" w:color="auto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Frequency band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Discrepancy</w:t>
            </w:r>
          </w:p>
        </w:tc>
        <w:tc>
          <w:tcPr>
            <w:tcW w:w="3193" w:type="pct"/>
            <w:tcBorders>
              <w:bottom w:val="single" w:sz="4" w:space="0" w:color="auto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E</w:t>
            </w:r>
            <w:r>
              <w:rPr>
                <w:sz w:val="16"/>
                <w:szCs w:val="16"/>
              </w:rPr>
              <w:t>lectrode connection</w:t>
            </w:r>
          </w:p>
        </w:tc>
      </w:tr>
      <w:tr w:rsidR="00CD11B6">
        <w:trPr>
          <w:jc w:val="center"/>
        </w:trPr>
        <w:tc>
          <w:tcPr>
            <w:tcW w:w="1083" w:type="pct"/>
            <w:tcBorders>
              <w:top w:val="nil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θ</w:t>
            </w:r>
          </w:p>
        </w:tc>
        <w:tc>
          <w:tcPr>
            <w:tcW w:w="722" w:type="pct"/>
            <w:tcBorders>
              <w:top w:val="nil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GDD&lt;TD</w:t>
            </w:r>
          </w:p>
        </w:tc>
        <w:tc>
          <w:tcPr>
            <w:tcW w:w="3193" w:type="pct"/>
            <w:tcBorders>
              <w:top w:val="nil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F4-F7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Fz-FC3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F4-FC3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Fp2-FC4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F4-FC4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FCz-FC4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Fp2-C4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F4-C4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C4-T4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FC4-CPz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C4-Pz</w:t>
            </w:r>
          </w:p>
        </w:tc>
      </w:tr>
      <w:tr w:rsidR="00CD11B6">
        <w:trPr>
          <w:jc w:val="center"/>
        </w:trPr>
        <w:tc>
          <w:tcPr>
            <w:tcW w:w="1083" w:type="pct"/>
            <w:vMerge w:val="restart"/>
            <w:tcBorders>
              <w:top w:val="nil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α</w:t>
            </w:r>
          </w:p>
        </w:tc>
        <w:tc>
          <w:tcPr>
            <w:tcW w:w="722" w:type="pct"/>
            <w:tcBorders>
              <w:top w:val="nil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GDD&lt;TD</w:t>
            </w:r>
          </w:p>
        </w:tc>
        <w:tc>
          <w:tcPr>
            <w:tcW w:w="3193" w:type="pct"/>
            <w:tcBorders>
              <w:top w:val="nil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Fz-F7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Fp1-FCz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F7-Cz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Fp1-T3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Fp2-T3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Fz-T3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FC3-T3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Fz-CPz</w:t>
            </w:r>
            <w:proofErr w:type="spellEnd"/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F3-CPz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F7-CPz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FCz-CPz</w:t>
            </w:r>
            <w:proofErr w:type="spellEnd"/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F4-CP4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Fp1-TP7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Fp2-TP7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F7-TP7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F8-TP7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T3-TP7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CPz-Pz</w:t>
            </w:r>
            <w:proofErr w:type="spellEnd"/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FCz-P4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CPz-P4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Fp1-T5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F4-T5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CPz-T5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Pz-T5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CPz-T6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Fz</w:t>
            </w:r>
            <w:proofErr w:type="spellEnd"/>
            <w:r>
              <w:rPr>
                <w:sz w:val="16"/>
                <w:szCs w:val="16"/>
              </w:rPr>
              <w:t>-Oz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FCz</w:t>
            </w:r>
            <w:proofErr w:type="spellEnd"/>
            <w:r>
              <w:rPr>
                <w:sz w:val="16"/>
                <w:szCs w:val="16"/>
              </w:rPr>
              <w:t>-Oz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Cz</w:t>
            </w:r>
            <w:proofErr w:type="spellEnd"/>
            <w:r>
              <w:rPr>
                <w:sz w:val="16"/>
                <w:szCs w:val="16"/>
              </w:rPr>
              <w:t>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C4-Oz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T3-Oz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CPz</w:t>
            </w:r>
            <w:proofErr w:type="spellEnd"/>
            <w:r>
              <w:rPr>
                <w:sz w:val="16"/>
                <w:szCs w:val="16"/>
              </w:rPr>
              <w:t>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TP7-Oz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Pz</w:t>
            </w:r>
            <w:proofErr w:type="spellEnd"/>
            <w:r>
              <w:rPr>
                <w:sz w:val="16"/>
                <w:szCs w:val="16"/>
              </w:rPr>
              <w:t>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T5-Oz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Fp1-O1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Fp2-O1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CPz-O1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T5-O1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Oz-O1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FCz-O2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FT7-O2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Cz-O2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C4-O2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T3-O2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TP7-O2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T5-O2</w:t>
            </w:r>
          </w:p>
        </w:tc>
      </w:tr>
      <w:tr w:rsidR="00CD11B6">
        <w:trPr>
          <w:jc w:val="center"/>
        </w:trPr>
        <w:tc>
          <w:tcPr>
            <w:tcW w:w="1083" w:type="pct"/>
            <w:vMerge/>
            <w:vAlign w:val="center"/>
          </w:tcPr>
          <w:p w:rsidR="00CD11B6" w:rsidRDefault="00CD11B6">
            <w:pPr>
              <w:spacing w:after="0"/>
              <w:ind w:firstLineChars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722" w:type="pct"/>
            <w:tcBorders>
              <w:top w:val="nil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GDD&gt;TD</w:t>
            </w:r>
          </w:p>
        </w:tc>
        <w:tc>
          <w:tcPr>
            <w:tcW w:w="3193" w:type="pct"/>
            <w:tcBorders>
              <w:top w:val="nil"/>
            </w:tcBorders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F3-C3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F7-C3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FC3-C3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T4-CPz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F7-CP3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FC4-CP3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FT7-CP3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Cz-CP3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C4-CP3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T4-CP3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F3-P3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C3-P4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P3-O2</w:t>
            </w:r>
          </w:p>
        </w:tc>
      </w:tr>
      <w:tr w:rsidR="00CD11B6">
        <w:trPr>
          <w:jc w:val="center"/>
        </w:trPr>
        <w:tc>
          <w:tcPr>
            <w:tcW w:w="1083" w:type="pct"/>
            <w:vMerge w:val="restart"/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γ</w:t>
            </w:r>
          </w:p>
        </w:tc>
        <w:tc>
          <w:tcPr>
            <w:tcW w:w="722" w:type="pct"/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GDD&lt;TD</w:t>
            </w:r>
          </w:p>
        </w:tc>
        <w:tc>
          <w:tcPr>
            <w:tcW w:w="3193" w:type="pct"/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TP8-P4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FCz</w:t>
            </w:r>
            <w:proofErr w:type="spellEnd"/>
            <w:r>
              <w:rPr>
                <w:sz w:val="16"/>
                <w:szCs w:val="16"/>
              </w:rPr>
              <w:t>-Oz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Cz</w:t>
            </w:r>
            <w:proofErr w:type="spellEnd"/>
            <w:r>
              <w:rPr>
                <w:sz w:val="16"/>
                <w:szCs w:val="16"/>
              </w:rPr>
              <w:t>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TP7-Oz</w:t>
            </w:r>
            <w:r>
              <w:rPr>
                <w:sz w:val="16"/>
                <w:szCs w:val="16"/>
              </w:rPr>
              <w:t>、</w:t>
            </w:r>
            <w:proofErr w:type="spellStart"/>
            <w:r>
              <w:rPr>
                <w:sz w:val="16"/>
                <w:szCs w:val="16"/>
              </w:rPr>
              <w:t>Pz</w:t>
            </w:r>
            <w:proofErr w:type="spellEnd"/>
            <w:r>
              <w:rPr>
                <w:sz w:val="16"/>
                <w:szCs w:val="16"/>
              </w:rPr>
              <w:t>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P4-Oz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T6-Oz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Fz-O1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FT7-O1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Pz-O1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P4-O1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T6-O1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F7-O2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FCz-O2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Cz-O2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CPz-O2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CP4-O2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P3-O2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P4-O2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T6-O2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O1-O2</w:t>
            </w:r>
          </w:p>
        </w:tc>
      </w:tr>
      <w:tr w:rsidR="00CD11B6">
        <w:trPr>
          <w:jc w:val="center"/>
        </w:trPr>
        <w:tc>
          <w:tcPr>
            <w:tcW w:w="1083" w:type="pct"/>
            <w:vMerge/>
            <w:vAlign w:val="center"/>
          </w:tcPr>
          <w:p w:rsidR="00CD11B6" w:rsidRDefault="00CD11B6">
            <w:pPr>
              <w:spacing w:after="0"/>
              <w:ind w:firstLineChars="0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722" w:type="pct"/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GDD&gt;TD</w:t>
            </w:r>
          </w:p>
        </w:tc>
        <w:tc>
          <w:tcPr>
            <w:tcW w:w="3193" w:type="pct"/>
            <w:vAlign w:val="center"/>
          </w:tcPr>
          <w:p w:rsidR="00CD11B6" w:rsidRDefault="00FC6DCE">
            <w:pPr>
              <w:spacing w:after="0"/>
              <w:ind w:firstLineChars="0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Fp2-FT8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F7-T3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FT7-T3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F8-T4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FT8-T4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T4-CPz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Fp2-TP7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F7-TP7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T4-TP7</w:t>
            </w:r>
            <w:r>
              <w:rPr>
                <w:sz w:val="16"/>
                <w:szCs w:val="16"/>
              </w:rPr>
              <w:t>、</w:t>
            </w:r>
            <w:r>
              <w:rPr>
                <w:sz w:val="16"/>
                <w:szCs w:val="16"/>
              </w:rPr>
              <w:t>CPz-TP8</w:t>
            </w:r>
          </w:p>
        </w:tc>
      </w:tr>
    </w:tbl>
    <w:p w:rsidR="00CD11B6" w:rsidRDefault="00FC6DCE">
      <w:pPr>
        <w:spacing w:line="240" w:lineRule="auto"/>
        <w:ind w:firstLine="300"/>
        <w:rPr>
          <w:sz w:val="15"/>
          <w:szCs w:val="15"/>
        </w:rPr>
      </w:pPr>
      <w:r>
        <w:rPr>
          <w:rFonts w:hint="eastAsia"/>
          <w:sz w:val="15"/>
          <w:szCs w:val="15"/>
        </w:rPr>
        <w:t>GDD&gt;TD indicates that the GDD group was significantly stronger than the TD group in these connections, and GDD&lt;TD indicates that the GDD group was significantly weaker than the TD group in these connections</w:t>
      </w:r>
      <w:r>
        <w:rPr>
          <w:rFonts w:hint="eastAsia"/>
          <w:sz w:val="15"/>
          <w:szCs w:val="15"/>
        </w:rPr>
        <w:t>，</w:t>
      </w:r>
    </w:p>
    <w:sectPr w:rsidR="00CD11B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C6DCE" w:rsidRDefault="00FC6DCE">
      <w:pPr>
        <w:spacing w:line="240" w:lineRule="auto"/>
        <w:ind w:firstLine="480"/>
      </w:pPr>
      <w:r>
        <w:separator/>
      </w:r>
    </w:p>
  </w:endnote>
  <w:endnote w:type="continuationSeparator" w:id="0">
    <w:p w:rsidR="00FC6DCE" w:rsidRDefault="00FC6DCE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C6DCE" w:rsidRDefault="00FC6DCE">
      <w:pPr>
        <w:spacing w:after="0"/>
        <w:ind w:firstLine="480"/>
      </w:pPr>
      <w:r>
        <w:separator/>
      </w:r>
    </w:p>
  </w:footnote>
  <w:footnote w:type="continuationSeparator" w:id="0">
    <w:p w:rsidR="00FC6DCE" w:rsidRDefault="00FC6DCE">
      <w:pPr>
        <w:spacing w:after="0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11B6"/>
    <w:rsid w:val="003F32B1"/>
    <w:rsid w:val="00660AB7"/>
    <w:rsid w:val="00CD11B6"/>
    <w:rsid w:val="00CE6E4C"/>
    <w:rsid w:val="00F720BE"/>
    <w:rsid w:val="00FC6DCE"/>
    <w:rsid w:val="029818F5"/>
    <w:rsid w:val="1C0227D6"/>
    <w:rsid w:val="1DE47350"/>
    <w:rsid w:val="4BAF1783"/>
    <w:rsid w:val="4E8E3003"/>
    <w:rsid w:val="7022715C"/>
    <w:rsid w:val="748F40CF"/>
    <w:rsid w:val="75361BCE"/>
    <w:rsid w:val="7C2C01A8"/>
    <w:rsid w:val="7C744C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FC90543"/>
  <w15:docId w15:val="{E91705A5-2529-4EE1-BEFA-11932E30E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spacing w:after="60" w:line="360" w:lineRule="auto"/>
      <w:ind w:firstLineChars="200" w:firstLine="723"/>
      <w:jc w:val="both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Autospacing="1" w:after="0" w:afterAutospacing="1"/>
      <w:jc w:val="left"/>
    </w:pPr>
    <w:rPr>
      <w:kern w:val="0"/>
    </w:rPr>
  </w:style>
  <w:style w:type="table" w:styleId="a4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442</Words>
  <Characters>2523</Characters>
  <Application>Microsoft Office Word</Application>
  <DocSecurity>0</DocSecurity>
  <Lines>21</Lines>
  <Paragraphs>5</Paragraphs>
  <ScaleCrop>false</ScaleCrop>
  <Company/>
  <LinksUpToDate>false</LinksUpToDate>
  <CharactersWithSpaces>2960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huizh</dc:creator>
  <cp:lastModifiedBy>Jessie</cp:lastModifiedBy>
  <cp:revision>5</cp:revision>
  <dcterms:created xsi:type="dcterms:W3CDTF">2025-04-14T13:45:00Z</dcterms:created>
  <dcterms:modified xsi:type="dcterms:W3CDTF">2025-09-29T05:15:00Z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eyJoZGlkIjoiMjdhMjUyMDNhYmE1OWU1YTYxNzIwYmQ5NTg2MzJlM2UiLCJ1c2VySWQiOiIyMjAzNTYwOTIifQ==</vt:lpwstr>
  </property>
  <property fmtid="{D5CDD505-2E9C-101B-9397-08002B2CF9AE}" pid="4" name="ICV">
    <vt:lpwstr>DC9B9966DE2C45A9B22EC739BE8EF406_13</vt:lpwstr>
  </property>
</Properties>
</file>